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F5517C"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F5517C"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023141B6" w14:textId="68DE8F27" w:rsidR="004B2DD7" w:rsidRDefault="001D7FDD" w:rsidP="006F34A2">
            <w:pPr>
              <w:spacing w:line="276" w:lineRule="auto"/>
              <w:rPr>
                <w:rFonts w:cs="Arial"/>
                <w:sz w:val="22"/>
              </w:rPr>
            </w:pPr>
            <w:r>
              <w:rPr>
                <w:rFonts w:cs="Arial"/>
                <w:sz w:val="22"/>
              </w:rPr>
              <w:t xml:space="preserve">LWR: </w:t>
            </w:r>
            <w:proofErr w:type="spellStart"/>
            <w:r>
              <w:rPr>
                <w:rFonts w:cs="Arial"/>
                <w:sz w:val="22"/>
              </w:rPr>
              <w:t>Áine</w:t>
            </w:r>
            <w:proofErr w:type="spellEnd"/>
            <w:r>
              <w:rPr>
                <w:rFonts w:cs="Arial"/>
                <w:sz w:val="22"/>
              </w:rPr>
              <w:t xml:space="preserve"> </w:t>
            </w:r>
            <w:proofErr w:type="spellStart"/>
            <w:r>
              <w:rPr>
                <w:rFonts w:cs="Arial"/>
                <w:sz w:val="22"/>
              </w:rPr>
              <w:t>Laumeneach</w:t>
            </w:r>
            <w:proofErr w:type="spellEnd"/>
          </w:p>
          <w:p w14:paraId="7D3C6BE6" w14:textId="77777777" w:rsidR="001D7FDD" w:rsidRDefault="001D7FDD" w:rsidP="006F34A2">
            <w:pPr>
              <w:spacing w:line="276" w:lineRule="auto"/>
              <w:rPr>
                <w:rFonts w:cs="Arial"/>
                <w:sz w:val="22"/>
              </w:rPr>
            </w:pPr>
          </w:p>
          <w:p w14:paraId="4ABEF6C3" w14:textId="42EB0AA1" w:rsidR="001D7FDD" w:rsidRPr="006F34A2" w:rsidRDefault="001D7FDD" w:rsidP="006F34A2">
            <w:pPr>
              <w:spacing w:line="276" w:lineRule="auto"/>
              <w:rPr>
                <w:rFonts w:cs="Arial"/>
                <w:sz w:val="22"/>
              </w:rPr>
            </w:pPr>
            <w:r>
              <w:rPr>
                <w:rFonts w:cs="Arial"/>
                <w:sz w:val="22"/>
              </w:rPr>
              <w:t>Deputy LWR: Anne Hickey</w:t>
            </w:r>
          </w:p>
        </w:tc>
        <w:tc>
          <w:tcPr>
            <w:tcW w:w="3651" w:type="dxa"/>
            <w:tcBorders>
              <w:bottom w:val="single" w:sz="4" w:space="0" w:color="auto"/>
            </w:tcBorders>
          </w:tcPr>
          <w:p w14:paraId="73EDAFDB" w14:textId="77777777" w:rsidR="004B2DD7" w:rsidRDefault="001D7FDD" w:rsidP="006F34A2">
            <w:pPr>
              <w:spacing w:line="276" w:lineRule="auto"/>
              <w:rPr>
                <w:rFonts w:cs="Arial"/>
                <w:sz w:val="22"/>
              </w:rPr>
            </w:pPr>
            <w:r>
              <w:rPr>
                <w:rFonts w:cs="Arial"/>
                <w:sz w:val="22"/>
              </w:rPr>
              <w:t>061378360</w:t>
            </w:r>
          </w:p>
          <w:p w14:paraId="1B0D612C" w14:textId="3C7C7386" w:rsidR="001D7FDD" w:rsidRPr="006F34A2" w:rsidRDefault="001D7FDD" w:rsidP="006F34A2">
            <w:pPr>
              <w:spacing w:line="276" w:lineRule="auto"/>
              <w:rPr>
                <w:rFonts w:cs="Arial"/>
                <w:sz w:val="22"/>
              </w:rPr>
            </w:pPr>
            <w:r>
              <w:rPr>
                <w:rFonts w:cs="Arial"/>
                <w:sz w:val="22"/>
              </w:rPr>
              <w:t>lackamorens@gmail.com</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47B444A3" w14:textId="18315B4D" w:rsidR="006F34A2" w:rsidRPr="001D7FDD"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F5517C"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F5517C"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F5517C"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F5517C"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F5517C"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35B9EDF9" w:rsidR="00AF5D55" w:rsidRPr="006316DB" w:rsidRDefault="009B466C" w:rsidP="006316DB">
      <w:pPr>
        <w:spacing w:line="276" w:lineRule="auto"/>
        <w:rPr>
          <w:rFonts w:cs="Arial"/>
          <w:sz w:val="22"/>
        </w:rPr>
      </w:pPr>
      <w:proofErr w:type="spellStart"/>
      <w:r w:rsidRPr="009B466C">
        <w:rPr>
          <w:rFonts w:cs="Arial"/>
          <w:color w:val="auto"/>
          <w:sz w:val="22"/>
        </w:rPr>
        <w:t>Lackamore</w:t>
      </w:r>
      <w:proofErr w:type="spellEnd"/>
      <w:r w:rsidRPr="009B466C">
        <w:rPr>
          <w:rFonts w:cs="Arial"/>
          <w:color w:val="auto"/>
          <w:sz w:val="22"/>
        </w:rPr>
        <w:t xml:space="preserve"> NS</w:t>
      </w:r>
      <w:r w:rsidR="00AF5D55" w:rsidRPr="009B466C">
        <w:rPr>
          <w:rFonts w:cs="Arial"/>
          <w:color w:val="auto"/>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07B3" w14:textId="77777777" w:rsidR="00F5517C" w:rsidRDefault="00F5517C">
      <w:pPr>
        <w:spacing w:after="0" w:line="240" w:lineRule="auto"/>
      </w:pPr>
      <w:r>
        <w:separator/>
      </w:r>
    </w:p>
    <w:p w14:paraId="4BED456E" w14:textId="77777777" w:rsidR="00F5517C" w:rsidRDefault="00F5517C"/>
  </w:endnote>
  <w:endnote w:type="continuationSeparator" w:id="0">
    <w:p w14:paraId="11BF2E64" w14:textId="77777777" w:rsidR="00F5517C" w:rsidRDefault="00F5517C">
      <w:pPr>
        <w:spacing w:after="0" w:line="240" w:lineRule="auto"/>
      </w:pPr>
      <w:r>
        <w:continuationSeparator/>
      </w:r>
    </w:p>
    <w:p w14:paraId="6E6377A2" w14:textId="77777777" w:rsidR="00F5517C" w:rsidRDefault="00F5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D48E3">
      <w:rPr>
        <w:rStyle w:val="PageNumber"/>
        <w:noProof/>
      </w:rPr>
      <w:t>20</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670F" w14:textId="77777777" w:rsidR="00F5517C" w:rsidRDefault="00F5517C">
      <w:pPr>
        <w:spacing w:after="0" w:line="240" w:lineRule="auto"/>
      </w:pPr>
      <w:r>
        <w:separator/>
      </w:r>
    </w:p>
    <w:p w14:paraId="02118617" w14:textId="77777777" w:rsidR="00F5517C" w:rsidRDefault="00F5517C"/>
  </w:footnote>
  <w:footnote w:type="continuationSeparator" w:id="0">
    <w:p w14:paraId="600FFA5A" w14:textId="77777777" w:rsidR="00F5517C" w:rsidRDefault="00F5517C">
      <w:pPr>
        <w:spacing w:after="0" w:line="240" w:lineRule="auto"/>
      </w:pPr>
      <w:r>
        <w:continuationSeparator/>
      </w:r>
    </w:p>
    <w:p w14:paraId="60043CEA" w14:textId="77777777" w:rsidR="00F5517C" w:rsidRDefault="00F5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D7FDD"/>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004"/>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B466C"/>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4370B"/>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517C"/>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D0974E-EDA8-475D-86D0-2B7B7E32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13351</Words>
  <Characters>76105</Characters>
  <Application>Microsoft Office Word</Application>
  <DocSecurity>0</DocSecurity>
  <Lines>634</Lines>
  <Paragraphs>178</Paragraphs>
  <ScaleCrop>false</ScaleCrop>
  <Company/>
  <LinksUpToDate>false</LinksUpToDate>
  <CharactersWithSpaces>89278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2020-08-15T20:53:00Z</dcterms:created>
  <dcterms:modified xsi:type="dcterms:W3CDTF">2020-08-18T20:06:00Z</dcterms:modified>
</cp:coreProperties>
</file>